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659" w:type="pct"/>
        <w:tblCellSpacing w:w="15" w:type="dxa"/>
        <w:tblCellMar>
          <w:top w:w="15" w:type="dxa"/>
          <w:left w:w="15" w:type="dxa"/>
          <w:bottom w:w="15" w:type="dxa"/>
          <w:right w:w="15" w:type="dxa"/>
        </w:tblCellMar>
        <w:tblLook w:val="04A0" w:firstRow="1" w:lastRow="0" w:firstColumn="1" w:lastColumn="0" w:noHBand="0" w:noVBand="1"/>
      </w:tblPr>
      <w:tblGrid>
        <w:gridCol w:w="5361"/>
      </w:tblGrid>
      <w:tr w:rsidR="00274CCE" w:rsidRPr="00C351B7" w:rsidTr="0084569F">
        <w:trPr>
          <w:tblCellSpacing w:w="15" w:type="dxa"/>
        </w:trPr>
        <w:tc>
          <w:tcPr>
            <w:tcW w:w="4945" w:type="pct"/>
            <w:vAlign w:val="bottom"/>
            <w:hideMark/>
          </w:tcPr>
          <w:p w:rsidR="00274CCE" w:rsidRPr="00C351B7" w:rsidRDefault="00274CCE" w:rsidP="00C351B7">
            <w:pPr>
              <w:rPr>
                <w:rFonts w:ascii="Calibri" w:hAnsi="Calibri"/>
                <w:sz w:val="24"/>
                <w:szCs w:val="24"/>
              </w:rPr>
            </w:pPr>
            <w:bookmarkStart w:id="0" w:name="_GoBack"/>
            <w:bookmarkEnd w:id="0"/>
            <w:r w:rsidRPr="00C351B7">
              <w:rPr>
                <w:rFonts w:ascii="Calibri" w:hAnsi="Calibri"/>
                <w:b/>
                <w:sz w:val="24"/>
                <w:szCs w:val="24"/>
              </w:rPr>
              <w:t>CLASS CODE:</w:t>
            </w:r>
            <w:r w:rsidRPr="00C351B7">
              <w:rPr>
                <w:rFonts w:ascii="Calibri" w:hAnsi="Calibri"/>
                <w:sz w:val="24"/>
                <w:szCs w:val="24"/>
              </w:rPr>
              <w:t xml:space="preserve">  </w:t>
            </w:r>
            <w:r w:rsidRPr="00B73333">
              <w:rPr>
                <w:rFonts w:ascii="Calibri" w:hAnsi="Calibri"/>
                <w:noProof/>
                <w:sz w:val="24"/>
                <w:szCs w:val="24"/>
              </w:rPr>
              <w:t>3471</w:t>
            </w:r>
            <w:r w:rsidRPr="00C351B7">
              <w:rPr>
                <w:rFonts w:ascii="Calibri" w:hAnsi="Calibri"/>
                <w:sz w:val="24"/>
                <w:szCs w:val="24"/>
              </w:rPr>
              <w:t xml:space="preserve">  </w:t>
            </w:r>
            <w:r w:rsidRPr="00C351B7">
              <w:rPr>
                <w:rFonts w:ascii="Calibri" w:hAnsi="Calibri"/>
                <w:sz w:val="24"/>
                <w:szCs w:val="24"/>
              </w:rPr>
              <w:br/>
            </w:r>
            <w:r w:rsidRPr="00C351B7">
              <w:rPr>
                <w:rFonts w:ascii="Calibri" w:hAnsi="Calibri"/>
                <w:b/>
                <w:sz w:val="24"/>
                <w:szCs w:val="24"/>
              </w:rPr>
              <w:t>PAY GRADE:</w:t>
            </w:r>
            <w:r w:rsidRPr="00C351B7">
              <w:rPr>
                <w:rFonts w:ascii="Calibri" w:hAnsi="Calibri"/>
                <w:sz w:val="24"/>
                <w:szCs w:val="24"/>
              </w:rPr>
              <w:t xml:space="preserve">  </w:t>
            </w:r>
            <w:r w:rsidRPr="00B73333">
              <w:rPr>
                <w:rFonts w:ascii="Calibri" w:hAnsi="Calibri"/>
                <w:noProof/>
                <w:sz w:val="24"/>
                <w:szCs w:val="24"/>
              </w:rPr>
              <w:t>019</w:t>
            </w:r>
            <w:r w:rsidRPr="00C351B7">
              <w:rPr>
                <w:rFonts w:ascii="Calibri" w:hAnsi="Calibri"/>
                <w:sz w:val="24"/>
                <w:szCs w:val="24"/>
              </w:rPr>
              <w:t xml:space="preserve"> </w:t>
            </w:r>
          </w:p>
        </w:tc>
      </w:tr>
    </w:tbl>
    <w:p w:rsidR="00274CCE" w:rsidRPr="00C351B7" w:rsidRDefault="00274CCE" w:rsidP="00274CCE">
      <w:pPr>
        <w:rPr>
          <w:rFonts w:ascii="Calibri" w:hAnsi="Calibri"/>
          <w:sz w:val="24"/>
          <w:szCs w:val="24"/>
        </w:rPr>
      </w:pPr>
      <w:r w:rsidRPr="00C351B7">
        <w:rPr>
          <w:rFonts w:ascii="Calibri" w:hAnsi="Calibri"/>
          <w:sz w:val="24"/>
          <w:szCs w:val="24"/>
        </w:rPr>
        <w:pict>
          <v:rect id="_x0000_i1025" style="width:0;height:1.5pt" o:hralign="center" o:hrstd="t" o:hr="t" fillcolor="#a0a0a0" stroked="f"/>
        </w:pict>
      </w:r>
    </w:p>
    <w:p w:rsidR="00274CCE" w:rsidRPr="00C351B7" w:rsidRDefault="00274CCE" w:rsidP="00274CCE">
      <w:pPr>
        <w:rPr>
          <w:rFonts w:ascii="Calibri" w:hAnsi="Calibri"/>
          <w:sz w:val="24"/>
          <w:szCs w:val="24"/>
        </w:rPr>
      </w:pPr>
      <w:r w:rsidRPr="00C351B7">
        <w:rPr>
          <w:rFonts w:ascii="Calibri" w:hAnsi="Calibri"/>
          <w:b/>
          <w:sz w:val="24"/>
          <w:szCs w:val="24"/>
        </w:rPr>
        <w:t>CLASS TITLE:</w:t>
      </w:r>
      <w:r w:rsidRPr="00C351B7">
        <w:rPr>
          <w:rFonts w:ascii="Calibri" w:hAnsi="Calibri"/>
          <w:sz w:val="24"/>
          <w:szCs w:val="24"/>
        </w:rPr>
        <w:t xml:space="preserve"> </w:t>
      </w:r>
      <w:r w:rsidRPr="00B73333">
        <w:rPr>
          <w:rFonts w:ascii="Calibri" w:hAnsi="Calibri"/>
          <w:noProof/>
          <w:sz w:val="24"/>
          <w:szCs w:val="24"/>
        </w:rPr>
        <w:t>MEDICAL DISABILITY EXAMINER</w:t>
      </w:r>
      <w:r w:rsidRPr="00C351B7">
        <w:rPr>
          <w:rFonts w:ascii="Calibri" w:hAnsi="Calibri"/>
          <w:sz w:val="24"/>
          <w:szCs w:val="24"/>
        </w:rPr>
        <w:t xml:space="preserve">   </w:t>
      </w:r>
    </w:p>
    <w:p w:rsidR="00274CCE" w:rsidRPr="00C351B7" w:rsidRDefault="00274CCE" w:rsidP="00274CCE">
      <w:pPr>
        <w:rPr>
          <w:rFonts w:ascii="Calibri" w:hAnsi="Calibri"/>
          <w:b/>
          <w:sz w:val="24"/>
          <w:szCs w:val="24"/>
        </w:rPr>
      </w:pPr>
      <w:r w:rsidRPr="00C351B7">
        <w:rPr>
          <w:rFonts w:ascii="Calibri" w:hAnsi="Calibri"/>
          <w:b/>
          <w:sz w:val="24"/>
          <w:szCs w:val="24"/>
        </w:rPr>
        <w:t xml:space="preserve">ALLOCATION FACTOR(S) </w:t>
      </w:r>
    </w:p>
    <w:p w:rsidR="00274CCE" w:rsidRPr="00C351B7" w:rsidRDefault="00274CCE" w:rsidP="00274CCE">
      <w:pPr>
        <w:rPr>
          <w:rFonts w:ascii="Calibri" w:hAnsi="Calibri"/>
          <w:sz w:val="24"/>
          <w:szCs w:val="24"/>
        </w:rPr>
      </w:pPr>
      <w:r w:rsidRPr="00B73333">
        <w:rPr>
          <w:rFonts w:ascii="Calibri" w:hAnsi="Calibri"/>
          <w:noProof/>
          <w:sz w:val="24"/>
          <w:szCs w:val="24"/>
        </w:rPr>
        <w:t>This is work reviewing and analyzing initial claims for Social Security disability benefits for determination of eligibility for benefits.</w:t>
      </w:r>
    </w:p>
    <w:p w:rsidR="00274CCE" w:rsidRPr="00C351B7" w:rsidRDefault="00274CCE" w:rsidP="00274CCE">
      <w:pPr>
        <w:rPr>
          <w:rFonts w:ascii="Calibri" w:hAnsi="Calibri"/>
          <w:b/>
          <w:sz w:val="24"/>
          <w:szCs w:val="24"/>
        </w:rPr>
      </w:pPr>
      <w:r w:rsidRPr="00C351B7">
        <w:rPr>
          <w:rFonts w:ascii="Calibri" w:hAnsi="Calibri"/>
          <w:b/>
          <w:sz w:val="24"/>
          <w:szCs w:val="24"/>
        </w:rPr>
        <w:t xml:space="preserve">EXAMPLES OF WORK PERFORMED: </w:t>
      </w:r>
    </w:p>
    <w:p w:rsidR="00274CCE" w:rsidRPr="00C351B7" w:rsidRDefault="00274CCE" w:rsidP="00274CCE">
      <w:pPr>
        <w:rPr>
          <w:rFonts w:ascii="Calibri" w:hAnsi="Calibri"/>
          <w:sz w:val="24"/>
          <w:szCs w:val="24"/>
        </w:rPr>
      </w:pPr>
      <w:r w:rsidRPr="00C351B7">
        <w:rPr>
          <w:rFonts w:ascii="Calibri" w:hAnsi="Calibri"/>
          <w:sz w:val="24"/>
          <w:szCs w:val="24"/>
        </w:rPr>
        <w:t xml:space="preserve">(Note: The examples of work as listed in this class specification are not necessarily descriptive of any one position in the class. The omission of specific statements does not preclude management from assigning specific duties not listed herein if such duties are a logical assignment to the position. Examples of work performed are not to be used for allocation purposes.) </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Determines the eligibility of claimants for Social Security disability benefits through the examination and evaluation of the case records.</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Prepares correspondence through selection of appropriate letters and specialized forms to obtain medical and vocational documentation.</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Establishes an electronic case record of all activities.</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Reviews and records amendments and/or policy changes to the Program Operations Manual System.</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Counsels and conducts personal interviews with claimants, their personal representatives, attorneys, physicians and other agencies on a variety of disability matters.</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Researches the Program Operations Manual System and related source material when individual claims present technical problems.</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Approves the eligibility of claimants for disability benefits.</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Analyzes medical and vocational composites and prepares decisional documents stating basis for decision determination.</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Confers with medical or vocational consultants when technical problems occur.</w:t>
      </w:r>
    </w:p>
    <w:p w:rsidR="00274CCE" w:rsidRDefault="00274CCE" w:rsidP="00274CCE">
      <w:pPr>
        <w:pStyle w:val="ListParagraph"/>
        <w:numPr>
          <w:ilvl w:val="0"/>
          <w:numId w:val="1"/>
        </w:numPr>
        <w:rPr>
          <w:rFonts w:ascii="Calibri" w:hAnsi="Calibri"/>
          <w:sz w:val="24"/>
          <w:szCs w:val="24"/>
        </w:rPr>
      </w:pPr>
      <w:r w:rsidRPr="00B73333">
        <w:rPr>
          <w:rFonts w:ascii="Calibri" w:hAnsi="Calibri"/>
          <w:noProof/>
          <w:sz w:val="24"/>
          <w:szCs w:val="24"/>
        </w:rPr>
        <w:t>Performs related work as required.</w:t>
      </w:r>
    </w:p>
    <w:p w:rsidR="00274CCE" w:rsidRPr="00C351B7" w:rsidRDefault="00274CCE" w:rsidP="00274CCE">
      <w:pPr>
        <w:pStyle w:val="ListParagraph"/>
        <w:rPr>
          <w:rFonts w:ascii="Calibri" w:hAnsi="Calibri"/>
          <w:sz w:val="24"/>
          <w:szCs w:val="24"/>
        </w:rPr>
      </w:pPr>
    </w:p>
    <w:p w:rsidR="00274CCE" w:rsidRPr="00C351B7" w:rsidRDefault="00274CCE" w:rsidP="00274CCE">
      <w:pPr>
        <w:rPr>
          <w:rFonts w:ascii="Calibri" w:hAnsi="Calibri"/>
          <w:b/>
          <w:sz w:val="24"/>
          <w:szCs w:val="24"/>
        </w:rPr>
      </w:pPr>
      <w:r w:rsidRPr="00C351B7">
        <w:rPr>
          <w:rFonts w:ascii="Calibri" w:hAnsi="Calibri"/>
          <w:b/>
          <w:sz w:val="24"/>
          <w:szCs w:val="24"/>
        </w:rPr>
        <w:t xml:space="preserve">KNOWLEDGE, SKILLS AND ABILITIES: </w:t>
      </w:r>
    </w:p>
    <w:p w:rsidR="00274CCE" w:rsidRPr="00C351B7" w:rsidRDefault="00274CCE" w:rsidP="00274CCE">
      <w:pPr>
        <w:rPr>
          <w:rFonts w:ascii="Calibri" w:hAnsi="Calibri"/>
          <w:sz w:val="24"/>
          <w:szCs w:val="24"/>
        </w:rPr>
      </w:pPr>
      <w:r w:rsidRPr="00C351B7">
        <w:rPr>
          <w:rFonts w:ascii="Calibri" w:hAnsi="Calibri"/>
          <w:sz w:val="24"/>
          <w:szCs w:val="24"/>
        </w:rPr>
        <w:t xml:space="preserve">(Note: The knowledge, skills and abilities (KSA's) identified in this class specification represent those needed to perform the duties of this class. Additional knowledge, skills and abilities may be applicable for individual positions in the employing agency.) </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lastRenderedPageBreak/>
        <w:t>Knowledge of medical terminology.</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Knowledge of the principles and techniques of effective communication.</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Ability to collect, evaluate and analyze data relating to disability benefits.</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Ability to understand and apply applicable rules, regulations, policies and procedures relating to disability benefits.</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Ability to evaluate data for accuracy and completion,.</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Ability to identify errors or problems and take appropriate corrective action.</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Ability to compose correspondence.</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Ability to organize data into logical format.</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Ability to work independently.</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Ability to conduct fact-finding research.</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Ability to utilize problem-solving techniques.</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Ability to plan, organize and coordinate work assignments.</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Ability to communicate effectively.</w:t>
      </w:r>
    </w:p>
    <w:p w:rsidR="00274CCE" w:rsidRDefault="00274CCE" w:rsidP="00274CCE">
      <w:pPr>
        <w:pStyle w:val="ListParagraph"/>
        <w:numPr>
          <w:ilvl w:val="0"/>
          <w:numId w:val="1"/>
        </w:numPr>
        <w:rPr>
          <w:rFonts w:ascii="Calibri" w:hAnsi="Calibri"/>
          <w:sz w:val="24"/>
          <w:szCs w:val="24"/>
        </w:rPr>
      </w:pPr>
      <w:r w:rsidRPr="00B73333">
        <w:rPr>
          <w:rFonts w:ascii="Calibri" w:hAnsi="Calibri"/>
          <w:noProof/>
          <w:sz w:val="24"/>
          <w:szCs w:val="24"/>
        </w:rPr>
        <w:t>Ability to establish and maintain effective working relationships with others.</w:t>
      </w:r>
    </w:p>
    <w:p w:rsidR="00274CCE" w:rsidRDefault="00274CCE" w:rsidP="00274CCE">
      <w:pPr>
        <w:pStyle w:val="ListParagraph"/>
        <w:rPr>
          <w:rFonts w:ascii="Calibri" w:hAnsi="Calibri"/>
          <w:sz w:val="24"/>
          <w:szCs w:val="24"/>
        </w:rPr>
      </w:pPr>
    </w:p>
    <w:p w:rsidR="00274CCE" w:rsidRPr="00C351B7" w:rsidRDefault="00274CCE" w:rsidP="00274CCE">
      <w:pPr>
        <w:rPr>
          <w:rFonts w:ascii="Calibri" w:hAnsi="Calibri"/>
          <w:b/>
          <w:sz w:val="24"/>
          <w:szCs w:val="24"/>
        </w:rPr>
      </w:pPr>
      <w:r w:rsidRPr="00C351B7">
        <w:rPr>
          <w:rFonts w:ascii="Calibri" w:hAnsi="Calibri"/>
          <w:b/>
          <w:sz w:val="24"/>
          <w:szCs w:val="24"/>
        </w:rPr>
        <w:t xml:space="preserve">MINIMUM QUALIFICATIONS </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A bachelor's degree from an accredited college or university and one year of professional experience in counseling, teaching, a benefits program involving adjusting, examining, investigating or processing of claims, or a social service, health or rehabilitative program.</w:t>
      </w:r>
    </w:p>
    <w:p w:rsidR="00274CCE" w:rsidRPr="00B73333" w:rsidRDefault="00274CCE" w:rsidP="00274CCE">
      <w:pPr>
        <w:pStyle w:val="ListParagraph"/>
        <w:numPr>
          <w:ilvl w:val="0"/>
          <w:numId w:val="1"/>
        </w:numPr>
        <w:rPr>
          <w:rFonts w:ascii="Calibri" w:hAnsi="Calibri"/>
          <w:noProof/>
          <w:sz w:val="24"/>
          <w:szCs w:val="24"/>
        </w:rPr>
      </w:pPr>
      <w:r w:rsidRPr="00B73333">
        <w:rPr>
          <w:rFonts w:ascii="Calibri" w:hAnsi="Calibri"/>
          <w:noProof/>
          <w:sz w:val="24"/>
          <w:szCs w:val="24"/>
        </w:rPr>
        <w:t>A master's degree from an accredited college or university can substitute for the required experience.</w:t>
      </w:r>
    </w:p>
    <w:p w:rsidR="00274CCE" w:rsidRDefault="00274CCE" w:rsidP="00274CCE">
      <w:pPr>
        <w:pStyle w:val="ListParagraph"/>
        <w:numPr>
          <w:ilvl w:val="0"/>
          <w:numId w:val="1"/>
        </w:numPr>
        <w:rPr>
          <w:rFonts w:ascii="Calibri" w:hAnsi="Calibri"/>
          <w:sz w:val="24"/>
          <w:szCs w:val="24"/>
        </w:rPr>
      </w:pPr>
      <w:r w:rsidRPr="00B73333">
        <w:rPr>
          <w:rFonts w:ascii="Calibri" w:hAnsi="Calibri"/>
          <w:noProof/>
          <w:sz w:val="24"/>
          <w:szCs w:val="24"/>
        </w:rPr>
        <w:t>Professional or nonprofessional experience as described above can substitute on a year-for-year basis for the required college education.</w:t>
      </w:r>
    </w:p>
    <w:p w:rsidR="00274CCE" w:rsidRPr="00C351B7" w:rsidRDefault="00274CCE" w:rsidP="00274CCE">
      <w:pPr>
        <w:pStyle w:val="ListParagraph"/>
        <w:rPr>
          <w:rFonts w:ascii="Calibri" w:hAnsi="Calibri"/>
          <w:sz w:val="24"/>
          <w:szCs w:val="24"/>
        </w:rPr>
      </w:pPr>
    </w:p>
    <w:p w:rsidR="00274CCE" w:rsidRPr="00C351B7" w:rsidRDefault="00274CCE" w:rsidP="00274CCE">
      <w:pPr>
        <w:rPr>
          <w:rFonts w:ascii="Calibri" w:hAnsi="Calibri"/>
          <w:b/>
          <w:sz w:val="24"/>
          <w:szCs w:val="24"/>
        </w:rPr>
      </w:pPr>
      <w:r w:rsidRPr="00C351B7">
        <w:rPr>
          <w:rFonts w:ascii="Calibri" w:hAnsi="Calibri"/>
          <w:b/>
          <w:sz w:val="24"/>
          <w:szCs w:val="24"/>
        </w:rPr>
        <w:t xml:space="preserve">EFFECTIVE: </w:t>
      </w:r>
    </w:p>
    <w:p w:rsidR="00274CCE" w:rsidRPr="00C351B7" w:rsidRDefault="00274CCE" w:rsidP="00274CCE">
      <w:pPr>
        <w:rPr>
          <w:rFonts w:ascii="Calibri" w:hAnsi="Calibri"/>
          <w:sz w:val="24"/>
          <w:szCs w:val="24"/>
        </w:rPr>
      </w:pPr>
      <w:r w:rsidRPr="00B73333">
        <w:rPr>
          <w:rFonts w:ascii="Calibri" w:hAnsi="Calibri"/>
          <w:noProof/>
          <w:sz w:val="24"/>
          <w:szCs w:val="24"/>
        </w:rPr>
        <w:t>7/1/2000</w:t>
      </w:r>
    </w:p>
    <w:p w:rsidR="00274CCE" w:rsidRPr="00C351B7" w:rsidRDefault="00274CCE" w:rsidP="00274CCE">
      <w:pPr>
        <w:rPr>
          <w:rFonts w:ascii="Calibri" w:hAnsi="Calibri"/>
          <w:b/>
          <w:sz w:val="24"/>
          <w:szCs w:val="24"/>
        </w:rPr>
      </w:pPr>
      <w:r w:rsidRPr="00C351B7">
        <w:rPr>
          <w:rFonts w:ascii="Calibri" w:hAnsi="Calibri"/>
          <w:b/>
          <w:sz w:val="24"/>
          <w:szCs w:val="24"/>
        </w:rPr>
        <w:t xml:space="preserve">HISTORY: </w:t>
      </w:r>
    </w:p>
    <w:p w:rsidR="00274CCE" w:rsidRPr="00B73333" w:rsidRDefault="00274CCE" w:rsidP="00274CCE">
      <w:pPr>
        <w:rPr>
          <w:rFonts w:ascii="Calibri" w:hAnsi="Calibri"/>
          <w:noProof/>
          <w:sz w:val="24"/>
          <w:szCs w:val="24"/>
        </w:rPr>
      </w:pPr>
      <w:r w:rsidRPr="00B73333">
        <w:rPr>
          <w:rFonts w:ascii="Calibri" w:hAnsi="Calibri"/>
          <w:noProof/>
          <w:sz w:val="24"/>
          <w:szCs w:val="24"/>
        </w:rPr>
        <w:t>09/01/1994</w:t>
      </w:r>
    </w:p>
    <w:p w:rsidR="00274CCE" w:rsidRDefault="00274CCE" w:rsidP="00274CCE">
      <w:pPr>
        <w:rPr>
          <w:rFonts w:ascii="Calibri" w:hAnsi="Calibri"/>
          <w:sz w:val="24"/>
          <w:szCs w:val="24"/>
        </w:rPr>
        <w:sectPr w:rsidR="00274CCE" w:rsidSect="00FC6764">
          <w:headerReference w:type="default" r:id="rId5"/>
          <w:headerReference w:type="first" r:id="rId6"/>
          <w:footerReference w:type="first" r:id="rId7"/>
          <w:pgSz w:w="12240" w:h="15840"/>
          <w:pgMar w:top="1080" w:right="1080" w:bottom="720" w:left="1080" w:header="720" w:footer="720" w:gutter="0"/>
          <w:pgNumType w:start="1"/>
          <w:cols w:space="720"/>
          <w:titlePg/>
          <w:docGrid w:linePitch="360"/>
        </w:sectPr>
      </w:pPr>
      <w:r w:rsidRPr="00B73333">
        <w:rPr>
          <w:rFonts w:ascii="Calibri" w:hAnsi="Calibri"/>
          <w:noProof/>
          <w:sz w:val="24"/>
          <w:szCs w:val="24"/>
        </w:rPr>
        <w:t>01/01/1984</w:t>
      </w:r>
    </w:p>
    <w:p w:rsidR="00091BBB" w:rsidRDefault="00274CCE"/>
    <w:sectPr w:rsidR="00091BBB" w:rsidSect="00274CC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64" w:rsidRPr="0018437C" w:rsidRDefault="00274CCE">
    <w:pPr>
      <w:pStyle w:val="Footer"/>
      <w:rPr>
        <w:color w:val="FFFFFF" w:themeColor="background1"/>
        <w:sz w:val="10"/>
        <w:szCs w:val="10"/>
      </w:rPr>
    </w:pPr>
    <w:r w:rsidRPr="00B73333">
      <w:rPr>
        <w:noProof/>
        <w:color w:val="FFFFFF" w:themeColor="background1"/>
        <w:sz w:val="10"/>
        <w:szCs w:val="10"/>
      </w:rPr>
      <w:t>3471-MEDICAL DISABILITY EXAMINER-CS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64" w:rsidRDefault="00274CCE" w:rsidP="00D23D18">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4A0" w:firstRow="1" w:lastRow="0" w:firstColumn="1" w:lastColumn="0" w:noHBand="0" w:noVBand="1"/>
    </w:tblPr>
    <w:tblGrid>
      <w:gridCol w:w="5505"/>
      <w:gridCol w:w="4575"/>
    </w:tblGrid>
    <w:tr w:rsidR="00FC6764" w:rsidTr="00234FC1">
      <w:trPr>
        <w:jc w:val="center"/>
      </w:trPr>
      <w:tc>
        <w:tcPr>
          <w:tcW w:w="5493" w:type="dxa"/>
        </w:tcPr>
        <w:p w:rsidR="00FC6764" w:rsidRDefault="00274CCE">
          <w:r>
            <w:rPr>
              <w:noProof/>
            </w:rPr>
            <w:drawing>
              <wp:inline distT="0" distB="0" distL="0" distR="0" wp14:anchorId="4DAAE8FC" wp14:editId="30B8E443">
                <wp:extent cx="952500" cy="942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L Seal - BW 100x99.gif"/>
                        <pic:cNvPicPr/>
                      </pic:nvPicPr>
                      <pic:blipFill>
                        <a:blip r:embed="rId1">
                          <a:extLst>
                            <a:ext uri="{28A0092B-C50C-407E-A947-70E740481C1C}">
                              <a14:useLocalDpi xmlns:a14="http://schemas.microsoft.com/office/drawing/2010/main" val="0"/>
                            </a:ext>
                          </a:extLst>
                        </a:blip>
                        <a:stretch>
                          <a:fillRect/>
                        </a:stretch>
                      </pic:blipFill>
                      <pic:spPr>
                        <a:xfrm>
                          <a:off x="0" y="0"/>
                          <a:ext cx="952500" cy="942975"/>
                        </a:xfrm>
                        <a:prstGeom prst="rect">
                          <a:avLst/>
                        </a:prstGeom>
                      </pic:spPr>
                    </pic:pic>
                  </a:graphicData>
                </a:graphic>
              </wp:inline>
            </w:drawing>
          </w:r>
        </w:p>
      </w:tc>
      <w:tc>
        <w:tcPr>
          <w:tcW w:w="4565" w:type="dxa"/>
          <w:shd w:val="clear" w:color="auto" w:fill="auto"/>
          <w:vAlign w:val="bottom"/>
        </w:tcPr>
        <w:p w:rsidR="00FC6764" w:rsidRDefault="00274CCE" w:rsidP="00E96469">
          <w:pPr>
            <w:pStyle w:val="ContactInformation"/>
            <w:rPr>
              <w:rFonts w:ascii="Century Gothic" w:hAnsi="Century Gothic"/>
              <w:b/>
              <w:color w:val="7F7F7F" w:themeColor="text1" w:themeTint="80"/>
              <w:sz w:val="20"/>
              <w:szCs w:val="20"/>
            </w:rPr>
          </w:pPr>
          <w:r>
            <w:rPr>
              <w:rFonts w:ascii="Century Gothic" w:hAnsi="Century Gothic"/>
              <w:b/>
              <w:color w:val="7F7F7F" w:themeColor="text1" w:themeTint="80"/>
              <w:sz w:val="20"/>
              <w:szCs w:val="20"/>
            </w:rPr>
            <w:t>DEPARTMENT OF MANAGEMENT SERVICES</w:t>
          </w:r>
        </w:p>
        <w:p w:rsidR="00FC6764" w:rsidRPr="00F41B06" w:rsidRDefault="00274CCE" w:rsidP="00E96469">
          <w:pPr>
            <w:pStyle w:val="ContactInformation"/>
            <w:rPr>
              <w:b/>
            </w:rPr>
          </w:pPr>
          <w:r>
            <w:rPr>
              <w:rFonts w:ascii="Century Gothic" w:hAnsi="Century Gothic"/>
              <w:b/>
              <w:color w:val="7F7F7F" w:themeColor="text1" w:themeTint="80"/>
            </w:rPr>
            <w:t>For Reference Only</w:t>
          </w:r>
        </w:p>
      </w:tc>
    </w:tr>
    <w:tr w:rsidR="00FC6764" w:rsidTr="00234FC1">
      <w:trPr>
        <w:jc w:val="center"/>
      </w:trPr>
      <w:tc>
        <w:tcPr>
          <w:tcW w:w="5493" w:type="dxa"/>
          <w:tcBorders>
            <w:bottom w:val="single" w:sz="4" w:space="0" w:color="auto"/>
          </w:tcBorders>
        </w:tcPr>
        <w:p w:rsidR="00FC6764" w:rsidRDefault="00274CCE">
          <w:pPr>
            <w:rPr>
              <w:noProof/>
            </w:rPr>
          </w:pPr>
        </w:p>
      </w:tc>
      <w:tc>
        <w:tcPr>
          <w:tcW w:w="4565" w:type="dxa"/>
          <w:tcBorders>
            <w:bottom w:val="single" w:sz="4" w:space="0" w:color="auto"/>
          </w:tcBorders>
        </w:tcPr>
        <w:p w:rsidR="00FC6764" w:rsidRDefault="00274CCE" w:rsidP="007A16E9">
          <w:pPr>
            <w:pStyle w:val="ContactInformation"/>
          </w:pPr>
        </w:p>
      </w:tc>
    </w:tr>
  </w:tbl>
  <w:p w:rsidR="00FC6764" w:rsidRDefault="00274C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A43D3"/>
    <w:multiLevelType w:val="hybridMultilevel"/>
    <w:tmpl w:val="92C6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CE"/>
    <w:rsid w:val="00131DE7"/>
    <w:rsid w:val="00274CCE"/>
    <w:rsid w:val="005F7F8F"/>
    <w:rsid w:val="006D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9A95C-8033-4A7A-99BE-8A395650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4CCE"/>
    <w:pPr>
      <w:spacing w:after="560" w:line="240" w:lineRule="auto"/>
      <w:ind w:right="144"/>
      <w:jc w:val="right"/>
    </w:pPr>
    <w:rPr>
      <w:rFonts w:eastAsiaTheme="minorEastAsia"/>
      <w:color w:val="404040" w:themeColor="text1" w:themeTint="BF"/>
      <w:sz w:val="20"/>
      <w:szCs w:val="24"/>
    </w:rPr>
  </w:style>
  <w:style w:type="character" w:customStyle="1" w:styleId="HeaderChar">
    <w:name w:val="Header Char"/>
    <w:basedOn w:val="DefaultParagraphFont"/>
    <w:link w:val="Header"/>
    <w:rsid w:val="00274CCE"/>
    <w:rPr>
      <w:rFonts w:eastAsiaTheme="minorEastAsia"/>
      <w:color w:val="404040" w:themeColor="text1" w:themeTint="BF"/>
      <w:sz w:val="20"/>
      <w:szCs w:val="24"/>
    </w:rPr>
  </w:style>
  <w:style w:type="paragraph" w:customStyle="1" w:styleId="ContactInformation">
    <w:name w:val="Contact Information"/>
    <w:basedOn w:val="Normal"/>
    <w:rsid w:val="00274CCE"/>
    <w:pPr>
      <w:spacing w:before="40" w:after="0" w:line="220" w:lineRule="atLeast"/>
      <w:jc w:val="right"/>
    </w:pPr>
    <w:rPr>
      <w:rFonts w:eastAsiaTheme="minorEastAsia"/>
      <w:color w:val="E7E6E6" w:themeColor="background2"/>
      <w:sz w:val="16"/>
    </w:rPr>
  </w:style>
  <w:style w:type="paragraph" w:styleId="Footer">
    <w:name w:val="footer"/>
    <w:basedOn w:val="Normal"/>
    <w:link w:val="FooterChar"/>
    <w:unhideWhenUsed/>
    <w:rsid w:val="00274CCE"/>
    <w:pPr>
      <w:tabs>
        <w:tab w:val="center" w:pos="4680"/>
        <w:tab w:val="right" w:pos="9360"/>
      </w:tabs>
      <w:spacing w:after="0" w:line="240" w:lineRule="auto"/>
    </w:pPr>
    <w:rPr>
      <w:rFonts w:eastAsiaTheme="minorEastAsia"/>
      <w:color w:val="404040" w:themeColor="text1" w:themeTint="BF"/>
      <w:sz w:val="19"/>
    </w:rPr>
  </w:style>
  <w:style w:type="character" w:customStyle="1" w:styleId="FooterChar">
    <w:name w:val="Footer Char"/>
    <w:basedOn w:val="DefaultParagraphFont"/>
    <w:link w:val="Footer"/>
    <w:rsid w:val="00274CCE"/>
    <w:rPr>
      <w:rFonts w:eastAsiaTheme="minorEastAsia"/>
      <w:color w:val="404040" w:themeColor="text1" w:themeTint="BF"/>
      <w:sz w:val="19"/>
    </w:rPr>
  </w:style>
  <w:style w:type="paragraph" w:styleId="ListParagraph">
    <w:name w:val="List Paragraph"/>
    <w:basedOn w:val="Normal"/>
    <w:qFormat/>
    <w:rsid w:val="00274CCE"/>
    <w:pPr>
      <w:spacing w:after="0" w:line="240" w:lineRule="auto"/>
      <w:ind w:left="720"/>
      <w:contextualSpacing/>
    </w:pPr>
    <w:rPr>
      <w:rFonts w:eastAsiaTheme="minorEastAsia"/>
      <w:color w:val="404040" w:themeColor="text1" w:themeTint="B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Blackwolfmajik</dc:creator>
  <cp:keywords/>
  <dc:description/>
  <cp:lastModifiedBy>Blackwolfmajik</cp:lastModifiedBy>
  <cp:revision>1</cp:revision>
  <dcterms:created xsi:type="dcterms:W3CDTF">2014-03-26T16:00:00Z</dcterms:created>
  <dcterms:modified xsi:type="dcterms:W3CDTF">2014-03-26T16:00:00Z</dcterms:modified>
</cp:coreProperties>
</file>